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9.png" ContentType="image/png"/>
  <Override PartName="/word/media/rId21.png" ContentType="image/png"/>
  <Override PartName="/word/media/rId25.png" ContentType="image/png"/>
  <Override PartName="/word/media/rId37.png" ContentType="image/png"/>
  <Override PartName="/word/media/rId41.png" ContentType="image/png"/>
  <Override PartName="/word/media/rId45.png" ContentType="image/png"/>
  <Override PartName="/word/media/rId33.png" ContentType="image/png"/>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Changing</w:t>
      </w:r>
      <w:r>
        <w:t xml:space="preserve"> </w:t>
      </w:r>
      <w:r>
        <w:t xml:space="preserve">diel</w:t>
      </w:r>
      <w:r>
        <w:t xml:space="preserve"> </w:t>
      </w:r>
      <w:r>
        <w:t xml:space="preserve">growth</w:t>
      </w:r>
      <w:r>
        <w:t xml:space="preserve"> </w:t>
      </w:r>
      <w:r>
        <w:t xml:space="preserve">symmetries</w:t>
      </w:r>
      <w:r>
        <w:t xml:space="preserve"> </w:t>
      </w:r>
      <w:r>
        <w:t xml:space="preserve">and</w:t>
      </w:r>
      <w:r>
        <w:t xml:space="preserve"> </w:t>
      </w:r>
      <w:r>
        <w:t xml:space="preserve">light-capture</w:t>
      </w:r>
      <w:r>
        <w:t xml:space="preserve"> </w:t>
      </w:r>
      <w:r>
        <w:t xml:space="preserve">in</w:t>
      </w:r>
      <w:r>
        <w:t xml:space="preserve"> </w:t>
      </w:r>
      <w:r>
        <w:t xml:space="preserve">PhycoCyanin</w:t>
      </w:r>
      <w:r>
        <w:t xml:space="preserve"> </w:t>
      </w:r>
      <w:r>
        <w:t xml:space="preserve">and</w:t>
      </w:r>
      <w:r>
        <w:t xml:space="preserve"> </w:t>
      </w:r>
      <w:r>
        <w:t xml:space="preserve">PhycoErythrin-rich</w:t>
      </w:r>
      <w:r>
        <w:t xml:space="preserve"> </w:t>
      </w:r>
      <w:r>
        <w:t xml:space="preserve">picocyanobacteria,</w:t>
      </w:r>
      <w:r>
        <w:t xml:space="preserve"> </w:t>
      </w:r>
      <w:r>
        <w:t xml:space="preserve">across</w:t>
      </w:r>
      <w:r>
        <w:t xml:space="preserve"> </w:t>
      </w:r>
      <w:r>
        <w:t xml:space="preserve">photic</w:t>
      </w:r>
      <w:r>
        <w:t xml:space="preserve"> </w:t>
      </w:r>
      <w:r>
        <w:t xml:space="preserve">regimes</w:t>
      </w:r>
      <w:r>
        <w:t xml:space="preserve"> </w:t>
      </w:r>
      <w:r>
        <w:t xml:space="preserve">and</w:t>
      </w:r>
      <w:r>
        <w:t xml:space="preserve"> </w:t>
      </w:r>
      <w:r>
        <w:t xml:space="preserve">growth</w:t>
      </w:r>
      <w:r>
        <w:t xml:space="preserve"> </w:t>
      </w:r>
      <w:r>
        <w:t xml:space="preserve">phases</w:t>
      </w:r>
    </w:p>
    <w:p>
      <w:pPr>
        <w:pStyle w:val="Author"/>
      </w:pPr>
      <w:r>
        <w:t xml:space="preserve">Sylwia Śliwińska-Wilczewska</w:t>
      </w:r>
      <w:r>
        <w:rPr>
          <w:vertAlign w:val="superscript"/>
        </w:rPr>
        <w:t xml:space="preserve">1</w:t>
      </w:r>
      <w:r>
        <w:rPr>
          <w:vertAlign w:val="superscript"/>
        </w:rPr>
        <w:t xml:space="preserve">,</w:t>
      </w:r>
      <w:r>
        <w:rPr>
          <w:vertAlign w:val="superscript"/>
        </w:rPr>
        <w:t xml:space="preserve">2</w:t>
      </w:r>
      <w:r>
        <w:t xml:space="preserve">,</w:t>
      </w:r>
      <w:r>
        <w:t xml:space="preserve"> </w:t>
      </w:r>
      <w:r>
        <w:t xml:space="preserve">Marta Konik</w:t>
      </w:r>
      <w:r>
        <w:rPr>
          <w:vertAlign w:val="superscript"/>
        </w:rPr>
        <w:t xml:space="preserve">3</w:t>
      </w:r>
      <w:r>
        <w:rPr>
          <w:vertAlign w:val="superscript"/>
        </w:rPr>
        <w:t xml:space="preserve">,</w:t>
      </w:r>
      <w:r>
        <w:rPr>
          <w:vertAlign w:val="superscript"/>
        </w:rPr>
        <w:t xml:space="preserve">4</w:t>
      </w:r>
      <w:r>
        <w:t xml:space="preserve">,</w:t>
      </w:r>
      <w:r>
        <w:t xml:space="preserve"> </w:t>
      </w:r>
      <w:r>
        <w:t xml:space="preserve">Mireille Savoie</w:t>
      </w:r>
      <w:r>
        <w:rPr>
          <w:vertAlign w:val="superscript"/>
        </w:rPr>
        <w:t xml:space="preserve">1</w:t>
      </w:r>
      <w:r>
        <w:t xml:space="preserve">,</w:t>
      </w:r>
      <w:r>
        <w:t xml:space="preserve"> </w:t>
      </w:r>
      <w:r>
        <w:t xml:space="preserve">Naaman Omar</w:t>
      </w:r>
      <w:r>
        <w:rPr>
          <w:vertAlign w:val="superscript"/>
        </w:rPr>
        <w:t xml:space="preserve">1</w:t>
      </w:r>
      <w:r>
        <w:t xml:space="preserve">,</w:t>
      </w:r>
      <w:r>
        <w:t xml:space="preserve"> </w:t>
      </w:r>
      <w:r>
        <w:t xml:space="preserve">and</w:t>
      </w:r>
      <w:r>
        <w:t xml:space="preserve"> </w:t>
      </w:r>
      <w:r>
        <w:t xml:space="preserve">Douglas A. Campbell</w:t>
      </w:r>
      <w:r>
        <w:rPr>
          <w:vertAlign w:val="superscript"/>
        </w:rPr>
        <w:t xml:space="preserve">1</w:t>
      </w:r>
      <w:r>
        <w:rPr>
          <w:vertAlign w:val="superscript"/>
        </w:rPr>
        <w:t xml:space="preserve">,</w:t>
      </w:r>
      <w:r>
        <w:rPr>
          <w:vertAlign w:val="superscript"/>
        </w:rPr>
        <w:t xml:space="preserve">✉</w:t>
      </w:r>
    </w:p>
    <w:p>
      <w:pPr>
        <w:pStyle w:val="FirstParagraph"/>
      </w:pPr>
      <w:r>
        <w:rPr>
          <w:vertAlign w:val="superscript"/>
        </w:rPr>
        <w:t xml:space="preserve">1</w:t>
      </w:r>
      <w:r>
        <w:t xml:space="preserve"> </w:t>
      </w:r>
      <w:r>
        <w:t xml:space="preserve">Department of Biology, Mount Allison University, 53 York St., Sackville NB, Canada, E4L 1C9</w:t>
      </w:r>
      <w:r>
        <w:br/>
      </w:r>
      <w:r>
        <w:rPr>
          <w:vertAlign w:val="superscript"/>
        </w:rPr>
        <w:t xml:space="preserve">2</w:t>
      </w:r>
      <w:r>
        <w:t xml:space="preserve"> </w:t>
      </w:r>
      <w:r>
        <w:t xml:space="preserve">Institute of Oceanography, University of Gdansk, 46 Pilsudskiego St, P81-378, Gdynia, Poland</w:t>
      </w:r>
      <w:r>
        <w:br/>
      </w:r>
      <w:r>
        <w:rPr>
          <w:vertAlign w:val="superscript"/>
        </w:rPr>
        <w:t xml:space="preserve">3</w:t>
      </w:r>
      <w:r>
        <w:t xml:space="preserve"> </w:t>
      </w:r>
      <w:r>
        <w:t xml:space="preserve">Department of Geography, University of Victoria, Victoria, BC V8P 5C2, Canada</w:t>
      </w:r>
      <w:r>
        <w:br/>
      </w:r>
      <w:r>
        <w:rPr>
          <w:vertAlign w:val="superscript"/>
        </w:rPr>
        <w:t xml:space="preserve">4</w:t>
      </w:r>
      <w:r>
        <w:t xml:space="preserve"> </w:t>
      </w:r>
      <w:r>
        <w:t xml:space="preserve">Institute of Oceanology, Polish Academy of Sciences, 81-712 Sopot, Poland</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Douglas A. Campbell &lt;</w:t>
        </w:r>
        <w:hyperlink r:id="rId20">
          <w:r>
            <w:rPr>
              <w:rStyle w:val="Hyperlink"/>
            </w:rPr>
            <w:t xml:space="preserve">dcampbel@mta.ca</w:t>
          </w:r>
        </w:hyperlink>
        <w:r>
          <w:rPr>
            <w:rStyle w:val="Hyperlink"/>
          </w:rPr>
          <w:t xml:space="preserve">&gt;</w:t>
        </w:r>
      </w:hyperlink>
    </w:p>
    <w:bookmarkStart w:id="54" w:name="supplementary-material"/>
    <w:p>
      <w:pPr>
        <w:pStyle w:val="Heading1"/>
      </w:pPr>
      <w:r>
        <w:t xml:space="preserve">Supplementary material</w:t>
      </w:r>
    </w:p>
    <w:p>
      <w:pPr>
        <w:pStyle w:val="FirstParagraph"/>
      </w:pPr>
      <w:r>
        <w:t xml:space="preserve">COMMENT: /as supplemental data show the plots of deltaOD vs elapsed time with the overlaid logistic fits.</w:t>
      </w:r>
    </w:p>
    <w:p>
      <w:pPr>
        <w:pStyle w:val="CaptionedFigure"/>
      </w:pPr>
      <w:r>
        <w:drawing>
          <wp:inline>
            <wp:extent cx="5943600" cy="7429499"/>
            <wp:effectExtent b="0" l="0" r="0" t="0"/>
            <wp:docPr descr="Figure 1: Example of representative growth curves (tracked as OD680) of two PhycoCyanin(PC)-rich cultures (light green line; 056, dark green line; 077) and two PhycoErythrin(PE)-rich cultures (light red line; 048, dark red line; 127) (Culture Collection of Baltic Algae) of Synechococcus sp. grown at 30, 90, 180, 300, or 900 peak PAR µmol photons m−2s−1; and photoperiods of 8, 12, 16, or 24 h. The vertical lines represent the time when the cultures reached their maximum absolute hourly growth (tMaxAG), taken as an index of transition from exponential to pre-stationary growth phases. The orange area represents the photoperiods, with peak PAR x 1/1000 to scale to the Y axis." title="" id="22" name="Picture"/>
            <a:graphic>
              <a:graphicData uri="http://schemas.openxmlformats.org/drawingml/2006/picture">
                <pic:pic>
                  <pic:nvPicPr>
                    <pic:cNvPr descr="../Output/Figures/SFig_GrowthCurve.png" id="23" name="Picture"/>
                    <pic:cNvPicPr>
                      <a:picLocks noChangeArrowheads="1" noChangeAspect="1"/>
                    </pic:cNvPicPr>
                  </pic:nvPicPr>
                  <pic:blipFill>
                    <a:blip r:embed="rId21"/>
                    <a:stretch>
                      <a:fillRect/>
                    </a:stretch>
                  </pic:blipFill>
                  <pic:spPr bwMode="auto">
                    <a:xfrm>
                      <a:off x="0" y="0"/>
                      <a:ext cx="5943600" cy="7429499"/>
                    </a:xfrm>
                    <a:prstGeom prst="rect">
                      <a:avLst/>
                    </a:prstGeom>
                    <a:noFill/>
                    <a:ln w="9525">
                      <a:noFill/>
                      <a:headEnd/>
                      <a:tailEnd/>
                    </a:ln>
                  </pic:spPr>
                </pic:pic>
              </a:graphicData>
            </a:graphic>
          </wp:inline>
        </w:drawing>
      </w:r>
    </w:p>
    <w:p>
      <w:pPr>
        <w:pStyle w:val="ImageCaption"/>
      </w:pPr>
      <w:bookmarkStart w:id="24" w:name="fig:GrowthCurve"/>
      <w:bookmarkEnd w:id="24"/>
      <w:r>
        <w:t xml:space="preserve">Figure 1: Example of representative growth curves (tracked as OD</w:t>
      </w:r>
      <w:r>
        <w:rPr>
          <w:vertAlign w:val="subscript"/>
        </w:rPr>
        <w:t xml:space="preserve">680</w:t>
      </w:r>
      <w:r>
        <w:t xml:space="preserve">) of two PhycoCyanin(PC)-rich cultures (light green line; 056, dark green line; 077) and two PhycoErythrin(PE)-rich cultures (light red line; 048, dark red line; 127) (Culture Collection of Baltic Algae) of</w:t>
      </w:r>
      <w:r>
        <w:t xml:space="preserve"> </w:t>
      </w:r>
      <w:r>
        <w:rPr>
          <w:iCs/>
          <w:i/>
        </w:rPr>
        <w:t xml:space="preserve">Synechococcus</w:t>
      </w:r>
      <w:r>
        <w:t xml:space="preserve"> </w:t>
      </w:r>
      <w:r>
        <w:t xml:space="preserve">sp. grown at 30, 90, 180, 300, or 900 peak PAR µmol photons m</w:t>
      </w:r>
      <w:r>
        <w:rPr>
          <w:vertAlign w:val="superscript"/>
        </w:rPr>
        <w:t xml:space="preserve">−2</w:t>
      </w:r>
      <w:r>
        <w:t xml:space="preserve">s</w:t>
      </w:r>
      <w:r>
        <w:rPr>
          <w:vertAlign w:val="superscript"/>
        </w:rPr>
        <w:t xml:space="preserve">−1</w:t>
      </w:r>
      <w:r>
        <w:t xml:space="preserve">; and photoperiods of 8, 12, 16, or 24 h. The vertical lines represent the time when the cultures reached their maximum absolute hourly growth (tMaxAG), taken as an index of transition from exponential to pre-stationary growth phases. The orange area represents the photoperiods, with peak PAR x 1/1000 to scale to the Y axis.</w:t>
      </w:r>
    </w:p>
    <w:p>
      <w:pPr>
        <w:pStyle w:val="CaptionedFigure"/>
      </w:pPr>
      <w:r>
        <w:drawing>
          <wp:inline>
            <wp:extent cx="5943600" cy="7429499"/>
            <wp:effectExtent b="0" l="0" r="0" t="0"/>
            <wp:docPr descr="Figure 2: Chlorophyll specific exponential growth rates, estimated from logistic fits of chlorophyll proxy OD680-OD720 vs. elapsed time, for two PhycoCyanin(PC)-rich cultures (056, 077) and two PhycoErythrin(PE)-rich cultures (048, 127) (Culture Collection of Baltic Algae) of Synechococcus sp. grown at 30, 90, 180, 300, 600, or 900 peak PAR µmol photons m−2s−1; and photoperiods of 8, 12, 16, or 24 h. Growth rates (+/- SE from logistic model; SE falls within symbol sizes) are plotted vs. cumulative diel µmol photons m−2d−1. Solid blue line shows fit of the pooled data with a three parameter model (Harrison and Platt, 1986). We also fit separate lines for growth under 30 (dark gray line), 90 (light gray line), 180 (purple line), 300 (red line), 600 together with 900 (orange line) peak PAR µmol photons m−2s−1, only when they were significantly different (ANOVA, p &lt; 0.05) from the pooled fit." title="" id="26" name="Picture"/>
            <a:graphic>
              <a:graphicData uri="http://schemas.openxmlformats.org/drawingml/2006/picture">
                <pic:pic>
                  <pic:nvPicPr>
                    <pic:cNvPr descr="../Output/Figures/SFig_GrowthRate.png" id="27" name="Picture"/>
                    <pic:cNvPicPr>
                      <a:picLocks noChangeArrowheads="1" noChangeAspect="1"/>
                    </pic:cNvPicPr>
                  </pic:nvPicPr>
                  <pic:blipFill>
                    <a:blip r:embed="rId25"/>
                    <a:stretch>
                      <a:fillRect/>
                    </a:stretch>
                  </pic:blipFill>
                  <pic:spPr bwMode="auto">
                    <a:xfrm>
                      <a:off x="0" y="0"/>
                      <a:ext cx="5943600" cy="7429499"/>
                    </a:xfrm>
                    <a:prstGeom prst="rect">
                      <a:avLst/>
                    </a:prstGeom>
                    <a:noFill/>
                    <a:ln w="9525">
                      <a:noFill/>
                      <a:headEnd/>
                      <a:tailEnd/>
                    </a:ln>
                  </pic:spPr>
                </pic:pic>
              </a:graphicData>
            </a:graphic>
          </wp:inline>
        </w:drawing>
      </w:r>
    </w:p>
    <w:p>
      <w:pPr>
        <w:pStyle w:val="ImageCaption"/>
      </w:pPr>
      <w:bookmarkStart w:id="28" w:name="fig:GrowthRate"/>
      <w:bookmarkEnd w:id="28"/>
      <w:r>
        <w:t xml:space="preserve">Figure 2: Chlorophyll specific exponential growth rates, estimated from logistic fits of chlorophyll proxy OD</w:t>
      </w:r>
      <w:r>
        <w:rPr>
          <w:vertAlign w:val="subscript"/>
        </w:rPr>
        <w:t xml:space="preserve">680</w:t>
      </w:r>
      <w:r>
        <w:t xml:space="preserve">-OD</w:t>
      </w:r>
      <w:r>
        <w:rPr>
          <w:vertAlign w:val="subscript"/>
        </w:rPr>
        <w:t xml:space="preserve">720</w:t>
      </w:r>
      <w:r>
        <w:t xml:space="preserve"> </w:t>
      </w:r>
      <w:r>
        <w:t xml:space="preserve">vs. elapsed time, for two PhycoCyanin(PC)-rich cultures (056, 077) and two PhycoErythrin(PE)-rich cultures (048, 127) (Culture Collection of Baltic Algae) of</w:t>
      </w:r>
      <w:r>
        <w:t xml:space="preserve"> </w:t>
      </w:r>
      <w:r>
        <w:rPr>
          <w:iCs/>
          <w:i/>
        </w:rPr>
        <w:t xml:space="preserve">Synechococcus</w:t>
      </w:r>
      <w:r>
        <w:t xml:space="preserve"> </w:t>
      </w:r>
      <w:r>
        <w:t xml:space="preserve">sp. grown at 30, 90, 180, 300, 600, or 900 peak PAR µmol photons m</w:t>
      </w:r>
      <w:r>
        <w:rPr>
          <w:vertAlign w:val="superscript"/>
        </w:rPr>
        <w:t xml:space="preserve">−2</w:t>
      </w:r>
      <w:r>
        <w:t xml:space="preserve">s</w:t>
      </w:r>
      <w:r>
        <w:rPr>
          <w:vertAlign w:val="superscript"/>
        </w:rPr>
        <w:t xml:space="preserve">−1</w:t>
      </w:r>
      <w:r>
        <w:t xml:space="preserve">; and photoperiods of 8, 12, 16, or 24 h. Growth rates (+/- SE from logistic model; SE falls within symbol sizes) are plotted vs. cumulative diel µmol photons m</w:t>
      </w:r>
      <w:r>
        <w:rPr>
          <w:vertAlign w:val="superscript"/>
        </w:rPr>
        <w:t xml:space="preserve">−2</w:t>
      </w:r>
      <w:r>
        <w:t xml:space="preserve">d</w:t>
      </w:r>
      <w:r>
        <w:rPr>
          <w:vertAlign w:val="superscript"/>
        </w:rPr>
        <w:t xml:space="preserve">−1</w:t>
      </w:r>
      <w:r>
        <w:t xml:space="preserve">. Solid blue line shows fit of the pooled data with a three parameter model (Harrison and Platt, 1986). We also fit separate lines for growth under 30 (dark gray line), 90 (light gray line), 180 (purple line), 300 (red line), 600 together with 900 (orange line) peak PAR µmol photons m</w:t>
      </w:r>
      <w:r>
        <w:rPr>
          <w:vertAlign w:val="superscript"/>
        </w:rPr>
        <w:t xml:space="preserve">−2</w:t>
      </w:r>
      <w:r>
        <w:t xml:space="preserve">s</w:t>
      </w:r>
      <w:r>
        <w:rPr>
          <w:vertAlign w:val="superscript"/>
        </w:rPr>
        <w:t xml:space="preserve">−1</w:t>
      </w:r>
      <w:r>
        <w:t xml:space="preserve">, only when they were significantly different (ANOVA,</w:t>
      </w:r>
      <w:r>
        <w:t xml:space="preserve"> </w:t>
      </w:r>
      <w:r>
        <w:rPr>
          <w:iCs/>
          <w:i/>
        </w:rPr>
        <w:t xml:space="preserve">p</w:t>
      </w:r>
      <w:r>
        <w:t xml:space="preserve"> </w:t>
      </w:r>
      <w:r>
        <w:t xml:space="preserve">&lt; 0.05) from the pooled fit.</w:t>
      </w:r>
    </w:p>
    <w:p>
      <w:pPr>
        <w:pStyle w:val="CaptionedFigure"/>
      </w:pPr>
      <w:r>
        <w:drawing>
          <wp:inline>
            <wp:extent cx="5943600" cy="7429499"/>
            <wp:effectExtent b="0" l="0" r="0" t="0"/>
            <wp:docPr descr="Figure 3: Hours of photoperiod to reach maximum hourly growth increment (AccLen), for two PhycoCyanin(PC)-rich cultures (056, 077) and two PhycoErythrin(PE)-rich cultures (048, 127) (Culture Collection of Baltic Algae) of Synechococcus sp. grown at 30, 90, 180, 300, or 900 peak PAR µmol photons m−2s−1; and photoperiods of 8, 12, or 16 h. The diagonal dashed lines indicate the time (h) to reach the maximum light during the day. Figure represents all data (small symbols) and means (big symbols) for n = 0-5 days from exponential phase, or from pre-stationary growth phase." title="" id="30" name="Picture"/>
            <a:graphic>
              <a:graphicData uri="http://schemas.openxmlformats.org/drawingml/2006/picture">
                <pic:pic>
                  <pic:nvPicPr>
                    <pic:cNvPr descr="../Output/Figures/SFig_AccLen.png" id="31" name="Picture"/>
                    <pic:cNvPicPr>
                      <a:picLocks noChangeArrowheads="1" noChangeAspect="1"/>
                    </pic:cNvPicPr>
                  </pic:nvPicPr>
                  <pic:blipFill>
                    <a:blip r:embed="rId29"/>
                    <a:stretch>
                      <a:fillRect/>
                    </a:stretch>
                  </pic:blipFill>
                  <pic:spPr bwMode="auto">
                    <a:xfrm>
                      <a:off x="0" y="0"/>
                      <a:ext cx="5943600" cy="7429499"/>
                    </a:xfrm>
                    <a:prstGeom prst="rect">
                      <a:avLst/>
                    </a:prstGeom>
                    <a:noFill/>
                    <a:ln w="9525">
                      <a:noFill/>
                      <a:headEnd/>
                      <a:tailEnd/>
                    </a:ln>
                  </pic:spPr>
                </pic:pic>
              </a:graphicData>
            </a:graphic>
          </wp:inline>
        </w:drawing>
      </w:r>
    </w:p>
    <w:p>
      <w:pPr>
        <w:pStyle w:val="ImageCaption"/>
      </w:pPr>
      <w:bookmarkStart w:id="32" w:name="fig:AccLen"/>
      <w:bookmarkEnd w:id="32"/>
      <w:r>
        <w:t xml:space="preserve">Figure 3: Hours of photoperiod to reach maximum hourly growth increment (AccLen), for two PhycoCyanin(PC)-rich cultures (056, 077) and two PhycoErythrin(PE)-rich cultures (048, 127) (Culture Collection of Baltic Algae) of</w:t>
      </w:r>
      <w:r>
        <w:t xml:space="preserve"> </w:t>
      </w:r>
      <w:r>
        <w:rPr>
          <w:iCs/>
          <w:i/>
        </w:rPr>
        <w:t xml:space="preserve">Synechococcus</w:t>
      </w:r>
      <w:r>
        <w:t xml:space="preserve"> </w:t>
      </w:r>
      <w:r>
        <w:t xml:space="preserve">sp. grown at 30, 90, 180, 300, or 900 peak PAR µmol photons m</w:t>
      </w:r>
      <w:r>
        <w:rPr>
          <w:vertAlign w:val="superscript"/>
        </w:rPr>
        <w:t xml:space="preserve">−2</w:t>
      </w:r>
      <w:r>
        <w:t xml:space="preserve">s</w:t>
      </w:r>
      <w:r>
        <w:rPr>
          <w:vertAlign w:val="superscript"/>
        </w:rPr>
        <w:t xml:space="preserve">−1</w:t>
      </w:r>
      <w:r>
        <w:t xml:space="preserve">; and photoperiods of 8, 12, or 16 h. The diagonal dashed lines indicate the time (h) to reach the maximum light during the day. Figure represents all data (small symbols) and means (big symbols) for n = 0-5 days from exponential phase, or from pre-stationary growth phase.</w:t>
      </w:r>
    </w:p>
    <w:p>
      <w:pPr>
        <w:pStyle w:val="CaptionedFigure"/>
      </w:pPr>
      <w:r>
        <w:drawing>
          <wp:inline>
            <wp:extent cx="5943600" cy="7429499"/>
            <wp:effectExtent b="0" l="0" r="0" t="0"/>
            <wp:docPr descr="Figure 4: Changes of TDG (tracked as daily change in OD680 increment) of two PhycoCyanin(PC)-rich cultures (056, 077) and two PhycoErythrin(PE)-rich cultures (048, 127) (Culture Collection of Baltic Algae) of Synechococcus sp. grown at 30, 90, 180, 300, or 900 peak PAR µmol photons m−2s−1; and photoperiods of 8, 12, or 16 h. The vertical lines represent the time when the strains reached their maximum absolute hourly growth (tMaxAG)." title="" id="34" name="Picture"/>
            <a:graphic>
              <a:graphicData uri="http://schemas.openxmlformats.org/drawingml/2006/picture">
                <pic:pic>
                  <pic:nvPicPr>
                    <pic:cNvPr descr="../Output/Figures/SFig_TDG.png" id="35" name="Picture"/>
                    <pic:cNvPicPr>
                      <a:picLocks noChangeArrowheads="1" noChangeAspect="1"/>
                    </pic:cNvPicPr>
                  </pic:nvPicPr>
                  <pic:blipFill>
                    <a:blip r:embed="rId33"/>
                    <a:stretch>
                      <a:fillRect/>
                    </a:stretch>
                  </pic:blipFill>
                  <pic:spPr bwMode="auto">
                    <a:xfrm>
                      <a:off x="0" y="0"/>
                      <a:ext cx="5943600" cy="7429499"/>
                    </a:xfrm>
                    <a:prstGeom prst="rect">
                      <a:avLst/>
                    </a:prstGeom>
                    <a:noFill/>
                    <a:ln w="9525">
                      <a:noFill/>
                      <a:headEnd/>
                      <a:tailEnd/>
                    </a:ln>
                  </pic:spPr>
                </pic:pic>
              </a:graphicData>
            </a:graphic>
          </wp:inline>
        </w:drawing>
      </w:r>
    </w:p>
    <w:p>
      <w:pPr>
        <w:pStyle w:val="ImageCaption"/>
      </w:pPr>
      <w:bookmarkStart w:id="36" w:name="fig:TDG"/>
      <w:bookmarkEnd w:id="36"/>
      <w:r>
        <w:t xml:space="preserve">Figure 4: Changes of TDG (tracked as daily change in OD</w:t>
      </w:r>
      <w:r>
        <w:rPr>
          <w:vertAlign w:val="subscript"/>
        </w:rPr>
        <w:t xml:space="preserve">680</w:t>
      </w:r>
      <w:r>
        <w:t xml:space="preserve"> </w:t>
      </w:r>
      <w:r>
        <w:t xml:space="preserve">increment) of two PhycoCyanin(PC)-rich cultures (056, 077) and two PhycoErythrin(PE)-rich cultures (048, 127) (Culture Collection of Baltic Algae) of</w:t>
      </w:r>
      <w:r>
        <w:t xml:space="preserve"> </w:t>
      </w:r>
      <w:r>
        <w:rPr>
          <w:iCs/>
          <w:i/>
        </w:rPr>
        <w:t xml:space="preserve">Synechococcus</w:t>
      </w:r>
      <w:r>
        <w:t xml:space="preserve"> </w:t>
      </w:r>
      <w:r>
        <w:t xml:space="preserve">sp. grown at 30, 90, 180, 300, or 900 peak PAR µmol photons m</w:t>
      </w:r>
      <w:r>
        <w:rPr>
          <w:vertAlign w:val="superscript"/>
        </w:rPr>
        <w:t xml:space="preserve">−2</w:t>
      </w:r>
      <w:r>
        <w:t xml:space="preserve">s</w:t>
      </w:r>
      <w:r>
        <w:rPr>
          <w:vertAlign w:val="superscript"/>
        </w:rPr>
        <w:t xml:space="preserve">−1</w:t>
      </w:r>
      <w:r>
        <w:t xml:space="preserve">; and photoperiods of 8, 12, or 16 h. The vertical lines represent the time when the strains reached their maximum absolute hourly growth (tMaxAG).</w:t>
      </w:r>
    </w:p>
    <w:p>
      <w:pPr>
        <w:pStyle w:val="CaptionedFigure"/>
      </w:pPr>
      <w:r>
        <w:drawing>
          <wp:inline>
            <wp:extent cx="5943600" cy="7429499"/>
            <wp:effectExtent b="0" l="0" r="0" t="0"/>
            <wp:docPr descr="Figure 5: Changes of total Phyco/Chl a ratio of two PhycoCyanin(PC)-rich cultures (056, 077) and two PhycoErythrin(PE)-rich cultures (048, 127) (Culture Collection of Baltic Algae) of Synechococcus sp. grown at 30, 90, 180, 300, 600, or 900 peak PAR µmol photons m−2s−1; and photoperiods of 8, 12, 16, or 24 h. Figure represents all data (small symbols) and means (big symbols) from exponential phase, or from pre-stationary growth phase. Blue solid line shows single phase exponential decay fit of pooled data; fit parameters are presented. Different lowercase letters indicate significant differences between the fit models for strains for a given phase of growth (ANOVA; p &lt; 0.05)." title="" id="38" name="Picture"/>
            <a:graphic>
              <a:graphicData uri="http://schemas.openxmlformats.org/drawingml/2006/picture">
                <pic:pic>
                  <pic:nvPicPr>
                    <pic:cNvPr descr="../Output/Figures/SFig_PhycoChlaRatio.png" id="39" name="Picture"/>
                    <pic:cNvPicPr>
                      <a:picLocks noChangeArrowheads="1" noChangeAspect="1"/>
                    </pic:cNvPicPr>
                  </pic:nvPicPr>
                  <pic:blipFill>
                    <a:blip r:embed="rId37"/>
                    <a:stretch>
                      <a:fillRect/>
                    </a:stretch>
                  </pic:blipFill>
                  <pic:spPr bwMode="auto">
                    <a:xfrm>
                      <a:off x="0" y="0"/>
                      <a:ext cx="5943600" cy="7429499"/>
                    </a:xfrm>
                    <a:prstGeom prst="rect">
                      <a:avLst/>
                    </a:prstGeom>
                    <a:noFill/>
                    <a:ln w="9525">
                      <a:noFill/>
                      <a:headEnd/>
                      <a:tailEnd/>
                    </a:ln>
                  </pic:spPr>
                </pic:pic>
              </a:graphicData>
            </a:graphic>
          </wp:inline>
        </w:drawing>
      </w:r>
    </w:p>
    <w:p>
      <w:pPr>
        <w:pStyle w:val="ImageCaption"/>
      </w:pPr>
      <w:bookmarkStart w:id="40" w:name="fig:PhycoChlaRatio"/>
      <w:bookmarkEnd w:id="40"/>
      <w:r>
        <w:t xml:space="preserve">Figure 5: Changes of total Phyco/Chl</w:t>
      </w:r>
      <w:r>
        <w:t xml:space="preserve"> </w:t>
      </w:r>
      <w:r>
        <w:rPr>
          <w:iCs/>
          <w:i/>
        </w:rPr>
        <w:t xml:space="preserve">a</w:t>
      </w:r>
      <w:r>
        <w:t xml:space="preserve"> </w:t>
      </w:r>
      <w:r>
        <w:t xml:space="preserve">ratio of two PhycoCyanin(PC)-rich cultures (056, 077) and two PhycoErythrin(PE)-rich cultures (048, 127) (Culture Collection of Baltic Algae) of</w:t>
      </w:r>
      <w:r>
        <w:t xml:space="preserve"> </w:t>
      </w:r>
      <w:r>
        <w:rPr>
          <w:iCs/>
          <w:i/>
        </w:rPr>
        <w:t xml:space="preserve">Synechococcus</w:t>
      </w:r>
      <w:r>
        <w:t xml:space="preserve"> </w:t>
      </w:r>
      <w:r>
        <w:t xml:space="preserve">sp. grown at 30, 90, 180, 300, 600, or 900 peak PAR µmol photons m</w:t>
      </w:r>
      <w:r>
        <w:rPr>
          <w:vertAlign w:val="superscript"/>
        </w:rPr>
        <w:t xml:space="preserve">−2</w:t>
      </w:r>
      <w:r>
        <w:t xml:space="preserve">s</w:t>
      </w:r>
      <w:r>
        <w:rPr>
          <w:vertAlign w:val="superscript"/>
        </w:rPr>
        <w:t xml:space="preserve">−1</w:t>
      </w:r>
      <w:r>
        <w:t xml:space="preserve">; and photoperiods of 8, 12, 16, or 24 h. Figure represents all data (small symbols) and means (big symbols) from exponential phase, or from pre-stationary growth phase. Blue solid line shows single phase exponential decay fit of pooled data; fit parameters are presented. Different lowercase letters indicate significant differences between the fit models for strains for a given phase of growth (ANOVA;</w:t>
      </w:r>
      <w:r>
        <w:t xml:space="preserve"> </w:t>
      </w:r>
      <w:r>
        <w:rPr>
          <w:iCs/>
          <w:i/>
        </w:rPr>
        <w:t xml:space="preserve">p</w:t>
      </w:r>
      <w:r>
        <w:t xml:space="preserve"> </w:t>
      </w:r>
      <w:r>
        <w:t xml:space="preserve">&lt; 0.05).</w:t>
      </w:r>
    </w:p>
    <w:p>
      <w:pPr>
        <w:pStyle w:val="CaptionedFigure"/>
      </w:pPr>
      <w:r>
        <w:drawing>
          <wp:inline>
            <wp:extent cx="5943600" cy="7429499"/>
            <wp:effectExtent b="0" l="0" r="0" t="0"/>
            <wp:docPr descr="Figure 6: Effective absorption cross section of PSII (σPSII’; nm2 quanta-1) measured under diel peak PAR growth light under Ex445 nm (blue) excitation in two PhycoCyanin(PC)-rich cultures (056, 077) and two PhycoErythrin(PE)-rich cultures (048, 127) (Culture Collection of Baltic Algae) of Synechococcus sp. grown at 30, 90, 180, 300, 600, or 900 peak PAR µmol photons m−2s−1; and photoperiods of 8, 12, 16, or 24 h. Figure represents all data (small symbols) and means (big symbols) from exponential phase, or from pre-stationary growth phase. Blue solid line shows linear model fit." title="" id="42" name="Picture"/>
            <a:graphic>
              <a:graphicData uri="http://schemas.openxmlformats.org/drawingml/2006/picture">
                <pic:pic>
                  <pic:nvPicPr>
                    <pic:cNvPr descr="../Output/Figures/SFig_Sigma445.png" id="43" name="Picture"/>
                    <pic:cNvPicPr>
                      <a:picLocks noChangeArrowheads="1" noChangeAspect="1"/>
                    </pic:cNvPicPr>
                  </pic:nvPicPr>
                  <pic:blipFill>
                    <a:blip r:embed="rId41"/>
                    <a:stretch>
                      <a:fillRect/>
                    </a:stretch>
                  </pic:blipFill>
                  <pic:spPr bwMode="auto">
                    <a:xfrm>
                      <a:off x="0" y="0"/>
                      <a:ext cx="5943600" cy="7429499"/>
                    </a:xfrm>
                    <a:prstGeom prst="rect">
                      <a:avLst/>
                    </a:prstGeom>
                    <a:noFill/>
                    <a:ln w="9525">
                      <a:noFill/>
                      <a:headEnd/>
                      <a:tailEnd/>
                    </a:ln>
                  </pic:spPr>
                </pic:pic>
              </a:graphicData>
            </a:graphic>
          </wp:inline>
        </w:drawing>
      </w:r>
    </w:p>
    <w:p>
      <w:pPr>
        <w:pStyle w:val="ImageCaption"/>
      </w:pPr>
      <w:bookmarkStart w:id="44" w:name="fig:Sigma445"/>
      <w:bookmarkEnd w:id="44"/>
      <w:r>
        <w:t xml:space="preserve">Figure 6: Effective absorption cross section of PSII (σ</w:t>
      </w:r>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 measured under diel peak PAR growth light under Ex445 nm (blue) excitation in two PhycoCyanin(PC)-rich cultures (056, 077) and two PhycoErythrin(PE)-rich cultures (048, 127) (Culture Collection of Baltic Algae) of</w:t>
      </w:r>
      <w:r>
        <w:t xml:space="preserve"> </w:t>
      </w:r>
      <w:r>
        <w:rPr>
          <w:iCs/>
          <w:i/>
        </w:rPr>
        <w:t xml:space="preserve">Synechococcus</w:t>
      </w:r>
      <w:r>
        <w:t xml:space="preserve"> </w:t>
      </w:r>
      <w:r>
        <w:t xml:space="preserve">sp. grown at 30, 90, 180, 300, 600, or 900 peak PAR µmol photons m</w:t>
      </w:r>
      <w:r>
        <w:rPr>
          <w:vertAlign w:val="superscript"/>
        </w:rPr>
        <w:t xml:space="preserve">−2</w:t>
      </w:r>
      <w:r>
        <w:t xml:space="preserve">s</w:t>
      </w:r>
      <w:r>
        <w:rPr>
          <w:vertAlign w:val="superscript"/>
        </w:rPr>
        <w:t xml:space="preserve">−1</w:t>
      </w:r>
      <w:r>
        <w:t xml:space="preserve">; and photoperiods of 8, 12, 16, or 24 h. Figure represents all data (small symbols) and means (big symbols) from exponential phase, or from pre-stationary growth phase. Blue solid line shows linear model fit.</w:t>
      </w:r>
    </w:p>
    <w:p>
      <w:pPr>
        <w:pStyle w:val="CaptionedFigure"/>
      </w:pPr>
      <w:r>
        <w:drawing>
          <wp:inline>
            <wp:extent cx="5943600" cy="7429499"/>
            <wp:effectExtent b="0" l="0" r="0" t="0"/>
            <wp:docPr descr="Figure 7: Changes of effective absorption cross section of PSII (σPSII’; nm2 quanta-1) measured under diel peak PAR growth light under Ex445 nm (blue) excitation in relation to the total Phyco/Chl a ratio of two PhycoCyanin(PC)-rich cultures (Culture Collection of Baltic Algae; 056, 077) and two PhycoErythrin(PE)-rich cultures (Culture Collection of Baltic Algae; 048, 127) of Synechococcus sp. grown at 30, 90, 180, 300, 600, or 900 peak PAR µmol photons m−2s−1; and photoperiods of 8, 12, 16, or 24 h. Figure represents all data (small symbols) and means (big symbols) from exponential phase, or from pre-stationary growth phase. Blue solid line shows linear model fit." title="" id="46" name="Picture"/>
            <a:graphic>
              <a:graphicData uri="http://schemas.openxmlformats.org/drawingml/2006/picture">
                <pic:pic>
                  <pic:nvPicPr>
                    <pic:cNvPr descr="../Output/Figures/SFig_SigmaPig445.png" id="47" name="Picture"/>
                    <pic:cNvPicPr>
                      <a:picLocks noChangeArrowheads="1" noChangeAspect="1"/>
                    </pic:cNvPicPr>
                  </pic:nvPicPr>
                  <pic:blipFill>
                    <a:blip r:embed="rId45"/>
                    <a:stretch>
                      <a:fillRect/>
                    </a:stretch>
                  </pic:blipFill>
                  <pic:spPr bwMode="auto">
                    <a:xfrm>
                      <a:off x="0" y="0"/>
                      <a:ext cx="5943600" cy="7429499"/>
                    </a:xfrm>
                    <a:prstGeom prst="rect">
                      <a:avLst/>
                    </a:prstGeom>
                    <a:noFill/>
                    <a:ln w="9525">
                      <a:noFill/>
                      <a:headEnd/>
                      <a:tailEnd/>
                    </a:ln>
                  </pic:spPr>
                </pic:pic>
              </a:graphicData>
            </a:graphic>
          </wp:inline>
        </w:drawing>
      </w:r>
    </w:p>
    <w:p>
      <w:pPr>
        <w:pStyle w:val="ImageCaption"/>
      </w:pPr>
      <w:bookmarkStart w:id="48" w:name="fig:SigmaPig445"/>
      <w:bookmarkEnd w:id="48"/>
      <w:r>
        <w:t xml:space="preserve">Figure 7: Changes of effective absorption cross section of PSII (σ</w:t>
      </w:r>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 measured under diel peak PAR growth light under Ex445 nm (blue) excitation in relation to the total Phyco/Chl</w:t>
      </w:r>
      <w:r>
        <w:t xml:space="preserve"> </w:t>
      </w:r>
      <w:r>
        <w:rPr>
          <w:iCs/>
          <w:i/>
        </w:rPr>
        <w:t xml:space="preserve">a</w:t>
      </w:r>
      <w:r>
        <w:t xml:space="preserve"> </w:t>
      </w:r>
      <w:r>
        <w:t xml:space="preserve">ratio of two PhycoCyanin(PC)-rich cultures (Culture Collection of Baltic Algae; 056, 077) and two PhycoErythrin(PE)-rich cultures (Culture Collection of Baltic Algae; 048, 127) of</w:t>
      </w:r>
      <w:r>
        <w:t xml:space="preserve"> </w:t>
      </w:r>
      <w:r>
        <w:rPr>
          <w:iCs/>
          <w:i/>
        </w:rPr>
        <w:t xml:space="preserve">Synechococcus</w:t>
      </w:r>
      <w:r>
        <w:t xml:space="preserve"> </w:t>
      </w:r>
      <w:r>
        <w:t xml:space="preserve">sp. grown at 30, 90, 180, 300, 600, or 900 peak PAR µmol photons m</w:t>
      </w:r>
      <w:r>
        <w:rPr>
          <w:vertAlign w:val="superscript"/>
        </w:rPr>
        <w:t xml:space="preserve">−2</w:t>
      </w:r>
      <w:r>
        <w:t xml:space="preserve">s</w:t>
      </w:r>
      <w:r>
        <w:rPr>
          <w:vertAlign w:val="superscript"/>
        </w:rPr>
        <w:t xml:space="preserve">−1</w:t>
      </w:r>
      <w:r>
        <w:t xml:space="preserve">; and photoperiods of 8, 12, 16, or 24 h. Figure represents all data (small symbols) and means (big symbols) from exponential phase, or from pre-stationary growth phase. Blue solid line shows linear model fit.</w:t>
      </w:r>
    </w:p>
    <w:p>
      <w:pPr>
        <w:pStyle w:val="TableCaption"/>
      </w:pPr>
      <w:bookmarkStart w:id="49" w:name="tab:unnamed-chunk-1"/>
      <w:bookmarkEnd w:id="49"/>
      <w:r>
        <w:t xml:space="preserve">Table 1:</w:t>
      </w:r>
      <w:r>
        <w:t xml:space="preserve"> </w:t>
      </w:r>
      <w:r>
        <w:t xml:space="preserve">Linear regression, coefficient of determination (R square), correlation coefficients (R), and p-value used to calculate the number of studied picocyanobacteria cells (N/mL) in cultures based on optical density (OD) measurements.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3591"/>
        <w:gridCol w:w="1633"/>
        <w:gridCol w:w="778"/>
        <w:gridCol w:w="1365"/>
        <w:gridCol w:w="839"/>
        <w:gridCol w:w="1664"/>
      </w:tblGrid>
      <w:tr>
        <w:trPr>
          <w:trHeight w:val="614"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Linear_regression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Strain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OD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R_square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p_value</w:t>
            </w:r>
          </w:p>
        </w:tc>
      </w:tr>
      <w:tr>
        <w:trPr>
          <w:trHeight w:val="617"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N/mL = (OD680*160489)+34573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PC-rich_056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680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0.6395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0.80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&lt; 2.2e-16 ***</w:t>
            </w:r>
          </w:p>
        </w:tc>
      </w:tr>
      <w:tr>
        <w:trPr>
          <w:trHeight w:val="617"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N/mL = (OD680*204581)+38483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0.8314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&lt; 2.2e-16 ***</w:t>
            </w:r>
          </w:p>
        </w:tc>
      </w:tr>
      <w:tr>
        <w:trPr>
          <w:trHeight w:val="617"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N/mL = (OD680*450190)+14516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0.9168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&lt; 2.2e-16 ***</w:t>
            </w:r>
          </w:p>
        </w:tc>
      </w:tr>
      <w:tr>
        <w:trPr>
          <w:trHeight w:val="617"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N/mL = (OD680*614649)+1446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PE-rich_127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0.8846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&lt; 8e-16 ***</w:t>
            </w:r>
          </w:p>
        </w:tc>
      </w:tr>
      <w:tr>
        <w:trPr>
          <w:trHeight w:val="617"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N/mL = (OD720*218497)+34902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0.6167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&lt; 2.2e-16 ***</w:t>
            </w:r>
          </w:p>
        </w:tc>
      </w:tr>
      <w:tr>
        <w:trPr>
          <w:trHeight w:val="617"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N/mL = (OD720*264482)+38766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0.8278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&lt; 2.2e-16 ***</w:t>
            </w:r>
          </w:p>
        </w:tc>
      </w:tr>
      <w:tr>
        <w:trPr>
          <w:trHeight w:val="617"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N/mL = (OD720*600583)+14873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0.9173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&lt; 2.2e-16 ***</w:t>
            </w:r>
          </w:p>
        </w:tc>
      </w:tr>
      <w:tr>
        <w:trPr>
          <w:trHeight w:val="617" w:hRule="auto"/>
        </w:trPr>
        body8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N/mL = (OD720*803505)+2786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PE-rich_127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720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0.8790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0.94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&lt; 1.6e-15 ***</w:t>
            </w:r>
          </w:p>
        </w:tc>
      </w:tr>
    </w:tbl>
    <w:p>
      <w:pPr>
        <w:pStyle w:val="TableCaption"/>
      </w:pPr>
      <w:bookmarkStart w:id="50" w:name="tab:unnamed-chunk-2"/>
      <w:bookmarkEnd w:id="50"/>
      <w:r>
        <w:t xml:space="preserve">Table 2:</w:t>
      </w:r>
      <w:r>
        <w:t xml:space="preserve"> </w:t>
      </w:r>
      <w:r>
        <w:t xml:space="preserve">Linear regression, coefficient of determination (R square), correlation coefficients (R), and p-value used to calculate the pigment content (µg/mL) of studied picocyanobacteria based on absorbance values (Abs) of individual pigment peaks obtained from the whole-cell absorbance spectra.</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4855"/>
        <w:gridCol w:w="1218"/>
        <w:gridCol w:w="790"/>
        <w:gridCol w:w="1365"/>
        <w:gridCol w:w="839"/>
        <w:gridCol w:w="1664"/>
      </w:tblGrid>
      <w:tr>
        <w:trPr>
          <w:trHeight w:val="614"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Linear_regression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Pigment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Abs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R_square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p_value</w:t>
            </w:r>
          </w:p>
        </w:tc>
      </w:tr>
      <w:tr>
        <w:trPr>
          <w:trHeight w:val="617"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Chla µg/mL = (Abs665*13.411029)+0.154793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Chl a</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665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0.8654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0.93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&lt; 2.2e-16 ***</w:t>
            </w:r>
          </w:p>
        </w:tc>
      </w:tr>
      <w:tr>
        <w:trPr>
          <w:trHeight w:val="617"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Car µg/mL = (Abs480*5.469880)+0.089971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0.7913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&lt; 2.2e-16 ***</w:t>
            </w:r>
          </w:p>
        </w:tc>
      </w:tr>
      <w:tr>
        <w:trPr>
          <w:trHeight w:val="617"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 µg/mL = (Abs565*26.760737)-0.143872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0.6979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&lt; 2.2e-16 ***</w:t>
            </w:r>
          </w:p>
        </w:tc>
      </w:tr>
      <w:tr>
        <w:trPr>
          <w:trHeight w:val="617"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 µg/mL = (Abs620*29.979866)-0.182611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0.8073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&lt; 2.2e-16 ***</w:t>
            </w:r>
          </w:p>
        </w:tc>
      </w:tr>
      <w:tr>
        <w:trPr>
          <w:trHeight w:val="617" w:hRule="auto"/>
        </w:trPr>
        body5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APC µg/mL = (Abs650*3.873803)+0.021964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APC</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650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0.08721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&lt; 2.8e-06 ***</w:t>
            </w:r>
          </w:p>
        </w:tc>
      </w:tr>
    </w:tbl>
    <w:p>
      <w:pPr>
        <w:pStyle w:val="TableCaption"/>
      </w:pPr>
      <w:bookmarkStart w:id="51" w:name="tab:unnamed-chunk-3"/>
      <w:bookmarkEnd w:id="51"/>
      <w:r>
        <w:t xml:space="preserve">Table 3:</w:t>
      </w:r>
      <w:r>
        <w:t xml:space="preserve"> </w:t>
      </w:r>
      <w:r>
        <w:t xml:space="preserve">Three-way factorial ANOVA of chlorophyll specific exponential growth rate, estimated from logistic fits of chlorophyll proxy OD~680~-OD~720~ vs. elapsed time, for two PhycoCyanin(PC)-rich cultures (056, 077) and two PhycoErythrin(PE)-rich cultures (048, 127) (Culture Collection of Baltic Algae) of *Synechococcus* sp. grown at 30, 90, 180, 300, 600, or 900 peak PAR µmol photons m^−2^s^−1^; and photoperiods of 8, 12, 16, or 24 h.): Df – degrees of freedom; Sum Sq – sum of squares; Mean Sq – mean sum of squares; F – Fisher's F-test statistic. Levels of significance(p_value) were: * *p* &lt; 0.05; ** *p* &lt; 0.01; *** *p* &lt; 0.001.</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3004"/>
        <w:gridCol w:w="655"/>
        <w:gridCol w:w="1193"/>
        <w:gridCol w:w="1291"/>
        <w:gridCol w:w="4815"/>
        <w:gridCol w:w="1040"/>
      </w:tblGrid>
      <w:tr>
        <w:trPr>
          <w:trHeight w:val="617"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Source_of_variation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Df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Sum Sq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Mean Sq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 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Pr(&gt;F)</w:t>
            </w:r>
          </w:p>
        </w:tc>
      </w:tr>
      <w:tr>
        <w:trPr>
          <w:trHeight w:val="612"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Par_ue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0.049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3,275,993,809,267,747,557,446,060,604,886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w:t>
            </w:r>
          </w:p>
        </w:tc>
      </w:tr>
      <w:tr>
        <w:trPr>
          <w:trHeight w:val="612"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Photoperiod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8,366,983,091,655,630,532,888,042,822,844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w:t>
            </w:r>
          </w:p>
        </w:tc>
      </w:tr>
      <w:tr>
        <w:trPr>
          <w:trHeight w:val="60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315,073,165,989,698,146,688,046,468,442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w:t>
            </w:r>
          </w:p>
        </w:tc>
      </w:tr>
      <w:tr>
        <w:trPr>
          <w:trHeight w:val="612"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Par_ue:Photoperiod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1,024,862,552,494,015,413,922,820,426,660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w:t>
            </w:r>
          </w:p>
        </w:tc>
      </w:tr>
      <w:tr>
        <w:trPr>
          <w:trHeight w:val="615"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Par_ue:Strain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159,293,098,134,146,972,176,848,806,842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w:t>
            </w:r>
          </w:p>
        </w:tc>
      </w:tr>
      <w:tr>
        <w:trPr>
          <w:trHeight w:val="615"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Photoperiod:Strain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130,621,571,712,984,046,018,228,404,884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w:t>
            </w:r>
          </w:p>
        </w:tc>
      </w:tr>
      <w:tr>
        <w:trPr>
          <w:trHeight w:val="615"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Par_ue:Photoperiod:Strain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143,387,631,476,474,577,792,020,662,084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w:t>
            </w:r>
          </w:p>
        </w:tc>
      </w:tr>
      <w:tr>
        <w:trPr>
          <w:trHeight w:val="571" w:hRule="auto"/>
        </w:trPr>
        body8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Residuals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r>
          </w:p>
        </w:tc>
      </w:tr>
    </w:tbl>
    <w:p>
      <w:pPr>
        <w:pStyle w:val="TableCaption"/>
      </w:pPr>
      <w:bookmarkStart w:id="52" w:name="tab:unnamed-chunk-4"/>
      <w:bookmarkEnd w:id="52"/>
      <w:r>
        <w:t xml:space="preserve">Table 4:</w:t>
      </w:r>
      <w:r>
        <w:t xml:space="preserve"> </w:t>
      </w:r>
      <w:r>
        <w:t xml:space="preserve">One-way ANOVA of pooled and separe fit data (FitComparison) for two PhycoCyanin(PC)-rich cultures (056, 077) and two PhycoErythrin(PE)-rich cultures (048, 127) (Culture Collection of Baltic Algae) of *Synechococcus* sp. with a three parameter model (Harrison and Platt, 1986) for growth at 8, 12, 16, or 24 h photoperiod: Df – degrees of freedom; Sum Sq – sum of squares; F value – Fisher's F-test statistic. Levels of significance (p_value) were: * *p* &lt; 0.05; ** *p* &lt; 0.01; *** *p* &lt; 0.00.</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3"/>
        <w:gridCol w:w="1646"/>
        <w:gridCol w:w="729"/>
        <w:gridCol w:w="1193"/>
        <w:gridCol w:w="1512"/>
        <w:gridCol w:w="1040"/>
        <w:gridCol w:w="1841"/>
        <w:gridCol w:w="1633"/>
      </w:tblGrid>
      <w:tr>
        <w:trPr>
          <w:trHeight w:val="617"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Res.Df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Res.Sum Sq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Df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Sum Sq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 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Pr(&gt;F)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FitComparison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Strain</w:t>
            </w:r>
          </w:p>
        </w:tc>
      </w:tr>
      <w:tr>
        <w:trPr>
          <w:trHeight w:val="615"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7.983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-7.982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2,071.889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8_All</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PC-rich_056</w:t>
            </w:r>
          </w:p>
        </w:tc>
      </w:tr>
      <w:tr>
        <w:trPr>
          <w:trHeight w:val="615"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7.983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-7.942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27.152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PC-rich_056</w:t>
            </w:r>
          </w:p>
        </w:tc>
      </w:tr>
      <w:tr>
        <w:trPr>
          <w:trHeight w:val="615"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7.983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-7.907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14.486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PC-rich_056</w:t>
            </w:r>
          </w:p>
        </w:tc>
      </w:tr>
      <w:tr>
        <w:trPr>
          <w:trHeight w:val="615"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7.983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-7.938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24.628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24_All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PC-rich_056</w:t>
            </w:r>
          </w:p>
        </w:tc>
      </w:tr>
      <w:tr>
        <w:trPr>
          <w:trHeight w:val="615"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51.894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PC-rich_077</w:t>
            </w:r>
          </w:p>
        </w:tc>
      </w:tr>
      <w:tr>
        <w:trPr>
          <w:trHeight w:val="615"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21.475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PC-rich_077</w:t>
            </w:r>
          </w:p>
        </w:tc>
      </w:tr>
      <w:tr>
        <w:trPr>
          <w:trHeight w:val="615"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13.654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PC-rich_077</w:t>
            </w:r>
          </w:p>
        </w:tc>
      </w:tr>
      <w:tr>
        <w:trPr>
          <w:trHeight w:val="615"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9.767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24_All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PC-rich_077</w:t>
            </w:r>
          </w:p>
        </w:tc>
      </w:tr>
      <w:tr>
        <w:trPr>
          <w:trHeight w:val="613"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6.645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-6.613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28.326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PE-rich_048</w:t>
            </w:r>
          </w:p>
        </w:tc>
      </w:tr>
      <w:tr>
        <w:trPr>
          <w:trHeight w:val="613"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6.645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-6.619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35.201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PE-rich_048</w:t>
            </w:r>
          </w:p>
        </w:tc>
      </w:tr>
      <w:tr>
        <w:trPr>
          <w:trHeight w:val="613"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6.645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-6.506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6.487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PE-rich_048</w:t>
            </w:r>
          </w:p>
        </w:tc>
      </w:tr>
      <w:tr>
        <w:trPr>
          <w:trHeight w:val="613"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6.645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-6.639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141.456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24_All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PE-rich_048</w:t>
            </w:r>
          </w:p>
        </w:tc>
      </w:tr>
      <w:tr>
        <w:trPr>
          <w:trHeight w:val="613"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13.041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-13.029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142.505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PE-rich_127</w:t>
            </w:r>
          </w:p>
        </w:tc>
      </w:tr>
      <w:tr>
        <w:trPr>
          <w:trHeight w:val="613"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13.041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-13.041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14,669.077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PE-rich_127</w:t>
            </w:r>
          </w:p>
        </w:tc>
      </w:tr>
      <w:tr>
        <w:trPr>
          <w:trHeight w:val="613"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13.041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-12.964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23.337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PE-rich_127</w:t>
            </w:r>
          </w:p>
        </w:tc>
      </w:tr>
      <w:tr>
        <w:trPr>
          <w:trHeight w:val="613" w:hRule="auto"/>
        </w:trPr>
        body16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13.041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-13.025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112.949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24_All</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PE-rich_127</w:t>
            </w:r>
          </w:p>
        </w:tc>
      </w:tr>
    </w:tbl>
    <w:p>
      <w:pPr>
        <w:pStyle w:val="TableCaption"/>
      </w:pPr>
      <w:bookmarkStart w:id="53" w:name="tab:unnamed-chunk-5"/>
      <w:bookmarkEnd w:id="53"/>
      <w:r>
        <w:t xml:space="preserve">Table 5:</w:t>
      </w:r>
      <w:r>
        <w:t xml:space="preserve"> </w:t>
      </w:r>
      <w:r>
        <w:t xml:space="preserve">One-way ANOVA of pooled and separe fit data (FitComparison) for two PhycoCyanin(PC)-rich cultures (056, 077) and two PhycoErythrin(PE)-rich cultures (048, 127) (Culture Collection of Baltic Algae) of *Synechococcus* sp. with a three parameter model (Harrison and Platt, 1986) for growth at 30, 90, 180, 300, 600, or 900 peak PAR µmol photons m^−2^s^−1^: Df – degrees of freedom; Sum Sq – sum of squares; F value – Fisher's F-test statistic. Levels of significance (p_value) were: * *p* &lt; 0.05; ** *p* &lt; 0.01; *** *p* &lt; 0.001.</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3"/>
        <w:gridCol w:w="1646"/>
        <w:gridCol w:w="729"/>
        <w:gridCol w:w="1193"/>
        <w:gridCol w:w="1512"/>
        <w:gridCol w:w="1040"/>
        <w:gridCol w:w="1841"/>
        <w:gridCol w:w="1633"/>
      </w:tblGrid>
      <w:tr>
        <w:trPr>
          <w:trHeight w:val="617"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Res.Df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Res.Sum Sq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Df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Sum Sq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 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Pr(&gt;F)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FitComparison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Strain</w:t>
            </w:r>
          </w:p>
        </w:tc>
      </w:tr>
      <w:tr>
        <w:trPr>
          <w:trHeight w:val="615"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7.983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-7.982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2,071.889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30_All</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PC-rich_056</w:t>
            </w:r>
          </w:p>
        </w:tc>
      </w:tr>
      <w:tr>
        <w:trPr>
          <w:trHeight w:val="615"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7.983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-7.942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27.152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PC-rich_056</w:t>
            </w:r>
          </w:p>
        </w:tc>
      </w:tr>
      <w:tr>
        <w:trPr>
          <w:trHeight w:val="615"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7.983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-7.907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14.486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PC-rich_056</w:t>
            </w:r>
          </w:p>
        </w:tc>
      </w:tr>
      <w:tr>
        <w:trPr>
          <w:trHeight w:val="615"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7.983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-7.938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24.628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PC-rich_056</w:t>
            </w:r>
          </w:p>
        </w:tc>
      </w:tr>
      <w:tr>
        <w:trPr>
          <w:trHeight w:val="615"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7.983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-7.512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4.490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900_All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PC-rich_056</w:t>
            </w:r>
          </w:p>
        </w:tc>
      </w:tr>
      <w:tr>
        <w:trPr>
          <w:trHeight w:val="615"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51.894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PC-rich_077</w:t>
            </w:r>
          </w:p>
        </w:tc>
      </w:tr>
      <w:tr>
        <w:trPr>
          <w:trHeight w:val="615"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21.475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PC-rich_077</w:t>
            </w:r>
          </w:p>
        </w:tc>
      </w:tr>
      <w:tr>
        <w:trPr>
          <w:trHeight w:val="615"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13.654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PC-rich_077</w:t>
            </w:r>
          </w:p>
        </w:tc>
      </w:tr>
      <w:tr>
        <w:trPr>
          <w:trHeight w:val="615"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9.767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PC-rich_077</w:t>
            </w:r>
          </w:p>
        </w:tc>
      </w:tr>
      <w:tr>
        <w:trPr>
          <w:trHeight w:val="615"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-2.282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900_All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PC-rich_077</w:t>
            </w:r>
          </w:p>
        </w:tc>
      </w:tr>
      <w:tr>
        <w:trPr>
          <w:trHeight w:val="613"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6.645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-6.613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28.326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PE-rich_048</w:t>
            </w:r>
          </w:p>
        </w:tc>
      </w:tr>
      <w:tr>
        <w:trPr>
          <w:trHeight w:val="613"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6.645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-6.619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35.201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PE-rich_048</w:t>
            </w:r>
          </w:p>
        </w:tc>
      </w:tr>
      <w:tr>
        <w:trPr>
          <w:trHeight w:val="613"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6.645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-6.506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6.487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PE-rich_048</w:t>
            </w:r>
          </w:p>
        </w:tc>
      </w:tr>
      <w:tr>
        <w:trPr>
          <w:trHeight w:val="613"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6.645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-6.639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141.456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PE-rich_048</w:t>
            </w:r>
          </w:p>
        </w:tc>
      </w:tr>
      <w:tr>
        <w:trPr>
          <w:trHeight w:val="613"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6.645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-5.797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900_All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PE-rich_048</w:t>
            </w:r>
          </w:p>
        </w:tc>
      </w:tr>
      <w:tr>
        <w:trPr>
          <w:trHeight w:val="613"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13.041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-13.029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142.505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PE-rich_127</w:t>
            </w:r>
          </w:p>
        </w:tc>
      </w:tr>
      <w:tr>
        <w:trPr>
          <w:trHeight w:val="613"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13.041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-13.041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14,669.077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PE-rich_127</w:t>
            </w:r>
          </w:p>
        </w:tc>
      </w:tr>
      <w:tr>
        <w:trPr>
          <w:trHeight w:val="613"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13.041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-12.964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23.337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PE-rich_127</w:t>
            </w:r>
          </w:p>
        </w:tc>
      </w:tr>
      <w:tr>
        <w:trPr>
          <w:trHeight w:val="613"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13.041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-13.025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112.949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PE-rich_127</w:t>
            </w:r>
          </w:p>
        </w:tc>
      </w:tr>
      <w:tr>
        <w:trPr>
          <w:trHeight w:val="613" w:hRule="auto"/>
        </w:trPr>
        body20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13.041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-12.172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3.938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900_All</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PE-rich_127</w:t>
            </w:r>
          </w:p>
        </w:tc>
      </w:tr>
    </w:tbl>
    <w:bookmarkEnd w:id="54"/>
    <w:sectPr w:rsidR="00551341" w:rsidSect="00BA6995">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0000A990"/>
    <w:multiLevelType w:val="multilevel"/>
    <w:tmpl w:val="0170613C"/>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16cid:durableId="1970358993" w:numId="1">
    <w:abstractNumId w:val="0"/>
  </w:num>
  <w:num w16cid:durableId="2068603268" w:numId="2">
    <w:abstractNumId w:val="0"/>
  </w:num>
  <w:num w16cid:durableId="884681990" w:numId="3">
    <w:abstractNumId w:val="0"/>
  </w:num>
  <w:num w16cid:durableId="1927763984" w:numId="4">
    <w:abstractNumId w:val="0"/>
  </w:num>
  <w:num w16cid:durableId="1042947347" w:numId="5">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rsid w:val="001F37F8"/>
    <w:pPr>
      <w:keepNext/>
      <w:keepLines/>
      <w:spacing w:after="0" w:before="480" w:line="360" w:lineRule="auto"/>
      <w:jc w:val="both"/>
      <w:outlineLvl w:val="0"/>
    </w:pPr>
    <w:rPr>
      <w:rFonts w:ascii="Times New Roman" w:cstheme="majorBidi" w:eastAsiaTheme="majorEastAsia" w:hAnsi="Times New Roman"/>
      <w:bCs/>
      <w:sz w:val="32"/>
      <w:szCs w:val="32"/>
    </w:rPr>
  </w:style>
  <w:style w:styleId="Heading2" w:type="paragraph">
    <w:name w:val="heading 2"/>
    <w:basedOn w:val="Normal"/>
    <w:next w:val="BodyText"/>
    <w:uiPriority w:val="9"/>
    <w:unhideWhenUsed/>
    <w:qFormat/>
    <w:rsid w:val="006C22D7"/>
    <w:pPr>
      <w:keepNext/>
      <w:keepLines/>
      <w:spacing w:before="200" w:line="360" w:lineRule="auto"/>
      <w:jc w:val="both"/>
      <w:outlineLvl w:val="1"/>
    </w:pPr>
    <w:rPr>
      <w:rFonts w:ascii="Times New Roman" w:cstheme="majorBidi" w:eastAsiaTheme="majorEastAsia" w:hAnsi="Times New Roman"/>
      <w:bCs/>
      <w:i/>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rsid w:val="00C62924"/>
    <w:pPr>
      <w:spacing w:after="0" w:line="360" w:lineRule="auto"/>
      <w:ind w:firstLine="567"/>
      <w:jc w:val="both"/>
    </w:pPr>
    <w:rPr>
      <w:rFonts w:ascii="Times New Roman" w:hAnsi="Times New Roman"/>
    </w:rPr>
  </w:style>
  <w:style w:customStyle="1" w:styleId="FirstParagraph" w:type="paragraph">
    <w:name w:val="First Paragraph"/>
    <w:basedOn w:val="BodyText"/>
    <w:next w:val="BodyText"/>
    <w:qFormat/>
    <w:rsid w:val="00C62924"/>
    <w:pPr>
      <w:ind w:firstLine="0"/>
    </w:pPr>
  </w:style>
  <w:style w:customStyle="1" w:styleId="Compact" w:type="paragraph">
    <w:name w:val="Compact"/>
    <w:basedOn w:val="BodyText"/>
    <w:qFormat/>
    <w:pPr>
      <w:spacing w:after="36" w:before="36"/>
    </w:pPr>
  </w:style>
  <w:style w:styleId="Title" w:type="paragraph">
    <w:name w:val="Title"/>
    <w:basedOn w:val="Normal"/>
    <w:next w:val="BodyText"/>
    <w:qFormat/>
    <w:rsid w:val="001F37F8"/>
    <w:pPr>
      <w:keepNext/>
      <w:keepLines/>
      <w:spacing w:after="240" w:before="480" w:line="360" w:lineRule="auto"/>
      <w:jc w:val="both"/>
    </w:pPr>
    <w:rPr>
      <w:rFonts w:ascii="Times New Roman" w:cstheme="majorBidi" w:eastAsiaTheme="majorEastAsia" w:hAnsi="Times New Roman"/>
      <w:bCs/>
      <w:sz w:val="36"/>
      <w:szCs w:val="36"/>
    </w:rPr>
  </w:style>
  <w:style w:styleId="Subtitle" w:type="paragraph">
    <w:name w:val="Subtitle"/>
    <w:basedOn w:val="Title"/>
    <w:next w:val="BodyText"/>
    <w:qFormat/>
    <w:pPr>
      <w:spacing w:before="240"/>
      <w:jc w:val="center"/>
    </w:pPr>
    <w:rPr>
      <w:sz w:val="30"/>
      <w:szCs w:val="30"/>
    </w:rPr>
  </w:style>
  <w:style w:customStyle="1" w:styleId="Author" w:type="paragraph">
    <w:name w:val="Author"/>
    <w:next w:val="BodyText"/>
    <w:qFormat/>
    <w:rsid w:val="008B5961"/>
    <w:pPr>
      <w:keepNext/>
      <w:keepLines/>
      <w:spacing w:line="360" w:lineRule="auto"/>
      <w:jc w:val="both"/>
    </w:pPr>
    <w:rPr>
      <w:rFonts w:ascii="Times New Roman" w:hAnsi="Times New Roman"/>
      <w:sz w:val="28"/>
    </w:r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rsid w:val="006C22D7"/>
    <w:pPr>
      <w:spacing w:line="360" w:lineRule="auto"/>
      <w:jc w:val="both"/>
    </w:pPr>
    <w:rPr>
      <w:rFonts w:ascii="Times New Roman" w:hAnsi="Times New Roman"/>
    </w:rPr>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rsid w:val="001F37F8"/>
    <w:pPr>
      <w:spacing w:line="360" w:lineRule="auto"/>
      <w:jc w:val="both"/>
    </w:pPr>
    <w:rPr>
      <w:rFonts w:ascii="Times New Roman" w:hAnsi="Times New Roman"/>
      <w:i w:val="0"/>
    </w:rPr>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sid w:val="008B5961"/>
    <w:rPr>
      <w:rFonts w:ascii="Times New Roman" w:hAnsi="Times New Roman"/>
      <w:color w:val="auto"/>
    </w:rPr>
  </w:style>
  <w:style w:styleId="TOCHeading" w:type="paragraph">
    <w:name w:val="TOC Heading"/>
    <w:basedOn w:val="Heading1"/>
    <w:next w:val="BodyText"/>
    <w:uiPriority w:val="39"/>
    <w:unhideWhenUsed/>
    <w:qFormat/>
    <w:pPr>
      <w:spacing w:before="240" w:line="259" w:lineRule="auto"/>
      <w:outlineLvl w:val="9"/>
    </w:pPr>
    <w:rPr>
      <w:rFonts w:asciiTheme="majorHAnsi" w:hAnsiTheme="majorHAnsi"/>
      <w:b/>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8F5902"/>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b/>
      <w:color w:val="CE5C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b/>
      <w:color w:val="204A87"/>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204A87"/>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PageNumber" w:type="character">
    <w:name w:val="page number"/>
    <w:basedOn w:val="DefaultParagraphFont"/>
    <w:rsid w:val="00A446FD"/>
    <w:rPr>
      <w:rFonts w:ascii="Times New Roman" w:hAnsi="Times New Roman"/>
      <w:sz w:val="20"/>
    </w:rPr>
  </w:style>
  <w:style w:styleId="LineNumber" w:type="character">
    <w:name w:val="line number"/>
    <w:basedOn w:val="DefaultParagraphFont"/>
    <w:rsid w:val="00A446FD"/>
    <w:rPr>
      <w:rFonts w:ascii="Times New Roman" w:hAnsi="Times New Roman"/>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9" Target="media/rId29.png" /><Relationship Type="http://schemas.openxmlformats.org/officeDocument/2006/relationships/image" Id="rId21" Target="media/rId21.png" /><Relationship Type="http://schemas.openxmlformats.org/officeDocument/2006/relationships/image" Id="rId25" Target="media/rId25.png" /><Relationship Type="http://schemas.openxmlformats.org/officeDocument/2006/relationships/image" Id="rId37" Target="media/rId37.png" /><Relationship Type="http://schemas.openxmlformats.org/officeDocument/2006/relationships/image" Id="rId41" Target="media/rId41.png" /><Relationship Type="http://schemas.openxmlformats.org/officeDocument/2006/relationships/image" Id="rId45" Target="media/rId45.png" /><Relationship Type="http://schemas.openxmlformats.org/officeDocument/2006/relationships/image" Id="rId33" Target="media/rId33.png" /><Relationship Type="http://schemas.openxmlformats.org/officeDocument/2006/relationships/hyperlink" Id="rId20" Target="mailto:dcampbel@mta.ca" TargetMode="External" /></Relationships>
</file>

<file path=word/_rels/footnotes.xml.rels><?xml version="1.0" encoding="UTF-8"?><Relationships xmlns="http://schemas.openxmlformats.org/package/2006/relationships"><Relationship Type="http://schemas.openxmlformats.org/officeDocument/2006/relationships/hyperlink" Id="rId20" Target="mailto:dcampbel@mta.ca"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TotalTime>
  <Pages>36</Pages>
  <Words>7360</Words>
  <Characters>41957</Characters>
  <Application>Microsoft Office Word</Application>
  <DocSecurity>0</DocSecurity>
  <Lines>349</Lines>
  <Paragraphs>98</Paragraphs>
  <ScaleCrop>false</ScaleCrop>
  <HeadingPairs>
    <vt:vector size="2" baseType="variant">
      <vt:variant>
        <vt:lpstr>Title</vt:lpstr>
      </vt:variant>
      <vt:variant>
        <vt:i4>1</vt:i4>
      </vt:variant>
    </vt:vector>
  </HeadingPairs>
  <TitlesOfParts>
    <vt:vector size="1" baseType="lpstr">
      <vt:lpstr>Changing diel growth symmetries and light-capture in PhycoCyanin and PhycoErythrin-rich picocyanobacteria across photic regimes and growth phases</vt:lpstr>
    </vt:vector>
  </TitlesOfParts>
  <Company/>
  <LinksUpToDate>false</LinksUpToDate>
  <CharactersWithSpaces>49219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Changing diel growth symmetries and light-capture in PhycoCyanin and PhycoErythrin-rich picocyanobacteria, across photic regimes and growth phases</dc:title>
  <dc:creator>Sylwia Śliwińska-Wilczewska1,2, Marta Konik3,4, Mireille Savoie1, Naaman Omar1, and Douglas A. Campbell1,✉</dc:creator>
  <cp:keywords/>
  <dcterms:created xsi:type="dcterms:W3CDTF">2024-02-01T01:10:59Z</dcterms:created>
  <dcterms:modified xsi:type="dcterms:W3CDTF">2024-02-01T01:10:59Z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
  </property>
  <property fmtid="{D5CDD505-2E9C-101B-9397-08002B2CF9AE}" pid="3" name="csl">
    <vt:lpwstr>plos-one.csl</vt:lpwstr>
  </property>
  <property fmtid="{D5CDD505-2E9C-101B-9397-08002B2CF9AE}" pid="4" name="output">
    <vt:lpwstr/>
  </property>
</Properties>
</file>